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74A" w:rsidRPr="00DD0AFC" w:rsidRDefault="00C7474A">
      <w:pPr>
        <w:pStyle w:val="Title"/>
        <w:rPr>
          <w:sz w:val="32"/>
          <w:szCs w:val="32"/>
          <w:u w:val="single"/>
        </w:rPr>
      </w:pPr>
      <w:r w:rsidRPr="00DD0AFC">
        <w:rPr>
          <w:sz w:val="32"/>
          <w:szCs w:val="32"/>
          <w:u w:val="single"/>
        </w:rPr>
        <w:t>Management of Emergencies in patients with Adrenal Insufficiency</w:t>
      </w:r>
    </w:p>
    <w:p w:rsidR="00C7474A" w:rsidRDefault="00C7474A">
      <w:pPr>
        <w:pStyle w:val="Heading1"/>
      </w:pPr>
      <w:r>
        <w:t>Symptoms</w:t>
      </w:r>
    </w:p>
    <w:p w:rsidR="00C7474A" w:rsidRDefault="00C7474A" w:rsidP="003E2BA5">
      <w:pPr>
        <w:pStyle w:val="ListParagraph"/>
        <w:numPr>
          <w:ilvl w:val="0"/>
          <w:numId w:val="1"/>
        </w:numPr>
        <w:rPr>
          <w:lang w:val="en-CA"/>
        </w:rPr>
      </w:pPr>
      <w:r>
        <w:rPr>
          <w:lang w:val="en-CA"/>
        </w:rPr>
        <w:t>Onset can take place very quickly over minutes or hours</w:t>
      </w:r>
    </w:p>
    <w:p w:rsidR="00C7474A" w:rsidRPr="003E2BA5" w:rsidRDefault="00C7474A" w:rsidP="003E2BA5">
      <w:pPr>
        <w:pStyle w:val="ListParagraph"/>
        <w:numPr>
          <w:ilvl w:val="0"/>
          <w:numId w:val="1"/>
        </w:numPr>
        <w:rPr>
          <w:lang w:val="en-CA"/>
        </w:rPr>
      </w:pPr>
      <w:r>
        <w:rPr>
          <w:lang w:val="en-CA"/>
        </w:rPr>
        <w:t>Patients experience f</w:t>
      </w:r>
      <w:r w:rsidRPr="003E2BA5">
        <w:rPr>
          <w:lang w:val="en-CA"/>
        </w:rPr>
        <w:t>atigue, nausea, vomits, dizziness, light-headedness, abdominal pain</w:t>
      </w:r>
      <w:r>
        <w:rPr>
          <w:lang w:val="en-CA"/>
        </w:rPr>
        <w:t>, confusion, headache, somnolence</w:t>
      </w:r>
    </w:p>
    <w:p w:rsidR="00C7474A" w:rsidRDefault="00C7474A" w:rsidP="003E2BA5">
      <w:pPr>
        <w:pStyle w:val="ListParagraph"/>
        <w:numPr>
          <w:ilvl w:val="0"/>
          <w:numId w:val="1"/>
        </w:numPr>
        <w:rPr>
          <w:lang w:val="en-CA"/>
        </w:rPr>
      </w:pPr>
      <w:r>
        <w:rPr>
          <w:lang w:val="en-CA"/>
        </w:rPr>
        <w:t>It can present exactly as if it was a gastro, a stomach flu or peritonitis</w:t>
      </w:r>
    </w:p>
    <w:p w:rsidR="00C7474A" w:rsidRPr="00FA167D" w:rsidRDefault="00C7474A" w:rsidP="00FA167D">
      <w:pPr>
        <w:pStyle w:val="ListParagraph"/>
        <w:numPr>
          <w:ilvl w:val="0"/>
          <w:numId w:val="1"/>
        </w:numPr>
        <w:rPr>
          <w:lang w:val="en-CA"/>
        </w:rPr>
      </w:pPr>
      <w:r>
        <w:rPr>
          <w:lang w:val="en-CA"/>
        </w:rPr>
        <w:t>Fever is common even in the absence of a real triggering infection. However, once the patient is stabilized infections should be ruled out because often they are the precipitating event</w:t>
      </w:r>
    </w:p>
    <w:p w:rsidR="00C7474A" w:rsidRDefault="00C7474A" w:rsidP="003E2BA5">
      <w:pPr>
        <w:pStyle w:val="Heading1"/>
      </w:pPr>
      <w:r>
        <w:t>Precipitating Events</w:t>
      </w:r>
    </w:p>
    <w:p w:rsidR="00C7474A" w:rsidRPr="003E2BA5" w:rsidRDefault="00C7474A" w:rsidP="003E2BA5">
      <w:pPr>
        <w:pStyle w:val="ListParagraph"/>
        <w:numPr>
          <w:ilvl w:val="0"/>
          <w:numId w:val="2"/>
        </w:numPr>
        <w:rPr>
          <w:lang w:val="en-CA"/>
        </w:rPr>
      </w:pPr>
      <w:r w:rsidRPr="003E2BA5">
        <w:t>Infections, particularly gastroenteritis, are the most frequent causes.</w:t>
      </w:r>
    </w:p>
    <w:p w:rsidR="00C7474A" w:rsidRPr="003E2BA5" w:rsidRDefault="00C7474A" w:rsidP="003E2BA5">
      <w:pPr>
        <w:pStyle w:val="ListParagraph"/>
        <w:numPr>
          <w:ilvl w:val="0"/>
          <w:numId w:val="2"/>
        </w:numPr>
        <w:rPr>
          <w:lang w:val="en-CA"/>
        </w:rPr>
      </w:pPr>
      <w:r>
        <w:t>S</w:t>
      </w:r>
      <w:r w:rsidRPr="003E2BA5">
        <w:t xml:space="preserve">urgery, strenuous exercise, emotional stress and accidents. </w:t>
      </w:r>
    </w:p>
    <w:p w:rsidR="00C7474A" w:rsidRPr="003311DA" w:rsidRDefault="00C7474A" w:rsidP="003311DA">
      <w:pPr>
        <w:pStyle w:val="ListParagraph"/>
        <w:numPr>
          <w:ilvl w:val="0"/>
          <w:numId w:val="2"/>
        </w:numPr>
        <w:rPr>
          <w:lang w:val="en-CA"/>
        </w:rPr>
      </w:pPr>
      <w:r>
        <w:rPr>
          <w:lang w:val="en-CA"/>
        </w:rPr>
        <w:t>C</w:t>
      </w:r>
      <w:r w:rsidRPr="003E2BA5">
        <w:t>essation of glucocorticoid therapy by the patient (or by the attending physician)</w:t>
      </w:r>
    </w:p>
    <w:p w:rsidR="00C7474A" w:rsidRDefault="00C7474A" w:rsidP="003311DA">
      <w:pPr>
        <w:pStyle w:val="ListParagraph"/>
        <w:numPr>
          <w:ilvl w:val="0"/>
          <w:numId w:val="2"/>
        </w:numPr>
        <w:rPr>
          <w:lang w:val="en-CA"/>
        </w:rPr>
      </w:pPr>
      <w:r>
        <w:t>In approximately 10% of cases the cause cannot be identified</w:t>
      </w:r>
    </w:p>
    <w:p w:rsidR="00C7474A" w:rsidRDefault="00C7474A" w:rsidP="009B11F9">
      <w:pPr>
        <w:pStyle w:val="Heading1"/>
      </w:pPr>
      <w:r>
        <w:t>Exam and lab findings</w:t>
      </w:r>
    </w:p>
    <w:p w:rsidR="00C7474A" w:rsidRDefault="00C7474A" w:rsidP="00FA167D">
      <w:pPr>
        <w:pStyle w:val="ListParagraph"/>
        <w:numPr>
          <w:ilvl w:val="0"/>
          <w:numId w:val="3"/>
        </w:numPr>
        <w:rPr>
          <w:lang w:val="en-CA"/>
        </w:rPr>
      </w:pPr>
      <w:r>
        <w:rPr>
          <w:lang w:val="en-CA"/>
        </w:rPr>
        <w:t>Hypotension (systolic BP below 100) or hypovolemic shock</w:t>
      </w:r>
    </w:p>
    <w:p w:rsidR="00C7474A" w:rsidRDefault="00C7474A" w:rsidP="00FA167D">
      <w:pPr>
        <w:pStyle w:val="ListParagraph"/>
        <w:numPr>
          <w:ilvl w:val="0"/>
          <w:numId w:val="3"/>
        </w:numPr>
        <w:rPr>
          <w:lang w:val="en-CA"/>
        </w:rPr>
      </w:pPr>
      <w:r>
        <w:rPr>
          <w:lang w:val="en-CA"/>
        </w:rPr>
        <w:t>Paleness, shallow pulse, decrease sensorium, tachycardia</w:t>
      </w:r>
    </w:p>
    <w:p w:rsidR="00C7474A" w:rsidRDefault="00C7474A" w:rsidP="00FA167D">
      <w:pPr>
        <w:pStyle w:val="ListParagraph"/>
        <w:numPr>
          <w:ilvl w:val="0"/>
          <w:numId w:val="3"/>
        </w:numPr>
        <w:rPr>
          <w:lang w:val="en-CA"/>
        </w:rPr>
      </w:pPr>
      <w:r>
        <w:rPr>
          <w:lang w:val="en-CA"/>
        </w:rPr>
        <w:t>Fever or slight elevation in body temperature</w:t>
      </w:r>
    </w:p>
    <w:p w:rsidR="00C7474A" w:rsidRDefault="00C7474A" w:rsidP="00FA167D">
      <w:pPr>
        <w:pStyle w:val="ListParagraph"/>
        <w:numPr>
          <w:ilvl w:val="0"/>
          <w:numId w:val="3"/>
        </w:numPr>
        <w:rPr>
          <w:lang w:val="en-CA"/>
        </w:rPr>
      </w:pPr>
      <w:r>
        <w:rPr>
          <w:lang w:val="en-CA"/>
        </w:rPr>
        <w:t>Hyponatremia and or hyperkalemia</w:t>
      </w:r>
    </w:p>
    <w:p w:rsidR="00C7474A" w:rsidRPr="00245B3B" w:rsidRDefault="00C7474A" w:rsidP="00CE6ADB">
      <w:pPr>
        <w:pStyle w:val="ListParagraph"/>
        <w:numPr>
          <w:ilvl w:val="0"/>
          <w:numId w:val="3"/>
        </w:numPr>
        <w:rPr>
          <w:lang w:val="en-CA"/>
        </w:rPr>
      </w:pPr>
      <w:r w:rsidRPr="00245B3B">
        <w:rPr>
          <w:lang w:val="en-CA"/>
        </w:rPr>
        <w:t>Hypoglycemia or reduce need for hypoglycemic agents in diabetics</w:t>
      </w:r>
    </w:p>
    <w:p w:rsidR="00C7474A" w:rsidRDefault="00C7474A" w:rsidP="00245B3B">
      <w:pPr>
        <w:pStyle w:val="Heading1"/>
      </w:pPr>
      <w:r>
        <w:t>Treatment</w:t>
      </w:r>
    </w:p>
    <w:p w:rsidR="00C7474A" w:rsidRPr="000125CD" w:rsidRDefault="00C7474A" w:rsidP="00245B3B">
      <w:pPr>
        <w:pStyle w:val="ListParagraph"/>
        <w:numPr>
          <w:ilvl w:val="0"/>
          <w:numId w:val="4"/>
        </w:numPr>
        <w:rPr>
          <w:u w:val="single"/>
          <w:lang w:val="en-CA"/>
        </w:rPr>
      </w:pPr>
      <w:r w:rsidRPr="000125CD">
        <w:rPr>
          <w:u w:val="single"/>
          <w:lang w:val="en-CA"/>
        </w:rPr>
        <w:t>ADRENAl CRISIS GRADE 1: Patient able to swallow and not vomiting</w:t>
      </w:r>
    </w:p>
    <w:p w:rsidR="00C7474A" w:rsidRDefault="00C7474A" w:rsidP="00245B3B">
      <w:pPr>
        <w:pStyle w:val="ListParagraph"/>
        <w:numPr>
          <w:ilvl w:val="1"/>
          <w:numId w:val="4"/>
        </w:numPr>
        <w:rPr>
          <w:lang w:val="en-CA"/>
        </w:rPr>
      </w:pPr>
      <w:r>
        <w:rPr>
          <w:lang w:val="en-CA"/>
        </w:rPr>
        <w:t xml:space="preserve">As soon as </w:t>
      </w:r>
      <w:r w:rsidRPr="00245B3B">
        <w:rPr>
          <w:b/>
          <w:i/>
          <w:lang w:val="en-CA"/>
        </w:rPr>
        <w:t>suspected</w:t>
      </w:r>
      <w:r>
        <w:rPr>
          <w:b/>
          <w:i/>
          <w:lang w:val="en-CA"/>
        </w:rPr>
        <w:t>,</w:t>
      </w:r>
      <w:r>
        <w:rPr>
          <w:lang w:val="en-CA"/>
        </w:rPr>
        <w:t xml:space="preserve"> whether it ends up being a real adrenal crisis or not, the patient </w:t>
      </w:r>
      <w:r w:rsidRPr="00245B3B">
        <w:rPr>
          <w:b/>
          <w:i/>
          <w:lang w:val="en-CA"/>
        </w:rPr>
        <w:t>must take</w:t>
      </w:r>
      <w:r>
        <w:rPr>
          <w:lang w:val="en-CA"/>
        </w:rPr>
        <w:t xml:space="preserve"> an extra dose of cortisone or hydrocortisone or dexamethasone or prednisone immediately, equivalent to the total daily dose (TDD) regularly taken. For example, a patient taking Cortef 10mg in the morning, 5mg at noon and 5 mg at supper, would take 20mg as soon as symptoms of adrenal crisis are suspected. </w:t>
      </w:r>
    </w:p>
    <w:p w:rsidR="00C7474A" w:rsidRDefault="00C7474A" w:rsidP="00245B3B">
      <w:pPr>
        <w:pStyle w:val="ListParagraph"/>
        <w:numPr>
          <w:ilvl w:val="1"/>
          <w:numId w:val="4"/>
        </w:numPr>
        <w:rPr>
          <w:lang w:val="en-CA"/>
        </w:rPr>
      </w:pPr>
      <w:r>
        <w:rPr>
          <w:lang w:val="en-CA"/>
        </w:rPr>
        <w:t xml:space="preserve">The TDD should then be repeated every 4-8 hours, depending on symptoms, for a total of 2-4 fold the TDD per day for the duration of the precipitating event, for instance a bad cold. </w:t>
      </w:r>
    </w:p>
    <w:p w:rsidR="00C7474A" w:rsidRDefault="00C7474A" w:rsidP="00245B3B">
      <w:pPr>
        <w:pStyle w:val="ListParagraph"/>
        <w:numPr>
          <w:ilvl w:val="1"/>
          <w:numId w:val="4"/>
        </w:numPr>
        <w:rPr>
          <w:lang w:val="en-CA"/>
        </w:rPr>
      </w:pPr>
      <w:r>
        <w:rPr>
          <w:lang w:val="en-CA"/>
        </w:rPr>
        <w:t>If symptoms persist or worsen, the patient should call her or his primary care doctor for assistance or visit an emergency room. If patient starts to deteriorate, for instance feeling weakness, nausea, vomiting, somnolent, despite following a &amp; b above, the emergency kit of solucortef® 100mg should be used as soon as possible and as the patient is taken to the nearest emergency room.</w:t>
      </w:r>
    </w:p>
    <w:p w:rsidR="00C7474A" w:rsidRPr="000125CD" w:rsidRDefault="00C7474A" w:rsidP="003F531E">
      <w:pPr>
        <w:pStyle w:val="ListParagraph"/>
        <w:numPr>
          <w:ilvl w:val="0"/>
          <w:numId w:val="4"/>
        </w:numPr>
        <w:rPr>
          <w:u w:val="single"/>
          <w:lang w:val="en-CA"/>
        </w:rPr>
      </w:pPr>
      <w:r w:rsidRPr="000125CD">
        <w:rPr>
          <w:u w:val="single"/>
          <w:lang w:val="en-CA"/>
        </w:rPr>
        <w:t>ADRENAL CRISIS GRADE 2: Patient is unable to use the oral route either because of</w:t>
      </w:r>
      <w:r>
        <w:rPr>
          <w:u w:val="single"/>
          <w:lang w:val="en-CA"/>
        </w:rPr>
        <w:t xml:space="preserve"> persisting vomits or because of</w:t>
      </w:r>
      <w:r w:rsidRPr="000125CD">
        <w:rPr>
          <w:u w:val="single"/>
          <w:lang w:val="en-CA"/>
        </w:rPr>
        <w:t xml:space="preserve"> depress</w:t>
      </w:r>
      <w:r>
        <w:rPr>
          <w:u w:val="single"/>
          <w:lang w:val="en-CA"/>
        </w:rPr>
        <w:t>ed</w:t>
      </w:r>
      <w:r w:rsidRPr="000125CD">
        <w:rPr>
          <w:u w:val="single"/>
          <w:lang w:val="en-CA"/>
        </w:rPr>
        <w:t xml:space="preserve"> level of consciousness</w:t>
      </w:r>
    </w:p>
    <w:p w:rsidR="00C7474A" w:rsidRDefault="00C7474A" w:rsidP="00793BE0">
      <w:pPr>
        <w:pStyle w:val="ListParagraph"/>
        <w:numPr>
          <w:ilvl w:val="1"/>
          <w:numId w:val="4"/>
        </w:numPr>
        <w:rPr>
          <w:lang w:val="en-CA"/>
        </w:rPr>
      </w:pPr>
      <w:r>
        <w:rPr>
          <w:lang w:val="en-CA"/>
        </w:rPr>
        <w:t xml:space="preserve">Solucortef® 100 mg via intramuscular (ideally) or subcutaneous should be given by the patient him or herself, the first responders or a trained relative or accompanying person at the scene. The emergency kit carried by the patient or the first responders should be used. The deltoid muscle (arm), the supero-external quadrant of the gluteus, or the external quadriceps can be used to inject the diluted solution of solucortef®. </w:t>
      </w:r>
    </w:p>
    <w:p w:rsidR="00C7474A" w:rsidRDefault="00C7474A" w:rsidP="00793BE0">
      <w:pPr>
        <w:pStyle w:val="ListParagraph"/>
        <w:numPr>
          <w:ilvl w:val="1"/>
          <w:numId w:val="4"/>
        </w:numPr>
        <w:rPr>
          <w:lang w:val="en-CA"/>
        </w:rPr>
      </w:pPr>
      <w:r>
        <w:rPr>
          <w:lang w:val="en-CA"/>
        </w:rPr>
        <w:t>Transport to the nearest emergency should follow.</w:t>
      </w:r>
    </w:p>
    <w:p w:rsidR="00C7474A" w:rsidRDefault="00C7474A" w:rsidP="00793BE0">
      <w:pPr>
        <w:pStyle w:val="ListParagraph"/>
        <w:numPr>
          <w:ilvl w:val="1"/>
          <w:numId w:val="4"/>
        </w:numPr>
        <w:rPr>
          <w:lang w:val="en-CA"/>
        </w:rPr>
      </w:pPr>
      <w:r>
        <w:rPr>
          <w:lang w:val="en-CA"/>
        </w:rPr>
        <w:t>What follows is dictated by the state of the patient. In general the following applies:</w:t>
      </w:r>
    </w:p>
    <w:p w:rsidR="00C7474A" w:rsidRDefault="00C7474A" w:rsidP="008D62CA">
      <w:pPr>
        <w:pStyle w:val="ListParagraph"/>
        <w:numPr>
          <w:ilvl w:val="2"/>
          <w:numId w:val="4"/>
        </w:numPr>
        <w:rPr>
          <w:lang w:val="en-CA"/>
        </w:rPr>
      </w:pPr>
      <w:r>
        <w:rPr>
          <w:lang w:val="en-CA"/>
        </w:rPr>
        <w:t>An IV dose of 100mg of hydrocortisone should be given as soon as an IV access is established. This should be followed by an IV infusion of 200mg / 24h or 50mg every 6 hours for the first 24 h.</w:t>
      </w:r>
    </w:p>
    <w:p w:rsidR="00C7474A" w:rsidRDefault="00C7474A" w:rsidP="00793BE0">
      <w:pPr>
        <w:pStyle w:val="ListParagraph"/>
        <w:numPr>
          <w:ilvl w:val="2"/>
          <w:numId w:val="4"/>
        </w:numPr>
        <w:rPr>
          <w:lang w:val="en-CA"/>
        </w:rPr>
      </w:pPr>
      <w:r>
        <w:rPr>
          <w:lang w:val="en-CA"/>
        </w:rPr>
        <w:t>IV hydration started with NS or D51/2NS bolus of aprox 10-15ml per kg of body weight during the first hour, followed by 100-200cc per hours until stable and able to eat.</w:t>
      </w:r>
    </w:p>
    <w:p w:rsidR="00C7474A" w:rsidRDefault="00C7474A" w:rsidP="00793BE0">
      <w:pPr>
        <w:pStyle w:val="ListParagraph"/>
        <w:numPr>
          <w:ilvl w:val="2"/>
          <w:numId w:val="4"/>
        </w:numPr>
        <w:rPr>
          <w:lang w:val="en-CA"/>
        </w:rPr>
      </w:pPr>
      <w:r>
        <w:rPr>
          <w:lang w:val="en-CA"/>
        </w:rPr>
        <w:t>Blood sample then taken for electrolytes, creatinine, glycemia, CBC, and if appropriate troponins, liver enzymes, urine and hemo-culture, chest x-ray, etc.</w:t>
      </w:r>
    </w:p>
    <w:p w:rsidR="00C7474A" w:rsidRDefault="00C7474A" w:rsidP="00793BE0">
      <w:pPr>
        <w:pStyle w:val="ListParagraph"/>
        <w:numPr>
          <w:ilvl w:val="2"/>
          <w:numId w:val="4"/>
        </w:numPr>
        <w:rPr>
          <w:lang w:val="en-CA"/>
        </w:rPr>
      </w:pPr>
      <w:r>
        <w:rPr>
          <w:lang w:val="en-CA"/>
        </w:rPr>
        <w:t>EKG as appropriate</w:t>
      </w:r>
    </w:p>
    <w:p w:rsidR="00C7474A" w:rsidRPr="000125CD" w:rsidRDefault="00C7474A" w:rsidP="008D62CA">
      <w:pPr>
        <w:pStyle w:val="ListParagraph"/>
        <w:numPr>
          <w:ilvl w:val="1"/>
          <w:numId w:val="4"/>
        </w:numPr>
        <w:rPr>
          <w:lang w:val="en-CA"/>
        </w:rPr>
      </w:pPr>
      <w:r>
        <w:rPr>
          <w:lang w:val="en-CA"/>
        </w:rPr>
        <w:t xml:space="preserve">In general there will be significant clinical recovery over the first 24h. If the patient status of </w:t>
      </w:r>
      <w:r w:rsidRPr="008D62CA">
        <w:t>profoundly impaired health</w:t>
      </w:r>
      <w:r>
        <w:t xml:space="preserve"> does not improve in the first 24h with the treatment described above a different medical problem should be ruled out (intestinal perforation, meningitis, hepatitis, pneumonia, CVA, IM, etc)</w:t>
      </w:r>
    </w:p>
    <w:p w:rsidR="00C7474A" w:rsidRPr="000125CD" w:rsidRDefault="00C7474A" w:rsidP="008D62CA">
      <w:pPr>
        <w:pStyle w:val="ListParagraph"/>
        <w:numPr>
          <w:ilvl w:val="1"/>
          <w:numId w:val="4"/>
        </w:numPr>
        <w:rPr>
          <w:lang w:val="en-CA"/>
        </w:rPr>
      </w:pPr>
      <w:r>
        <w:t>If improvement occurs as expected within 24h, on the second day the patient may be switched to the oral route for the hydrocortisone or cortisone acetate as follows</w:t>
      </w:r>
    </w:p>
    <w:p w:rsidR="00C7474A" w:rsidRPr="000125CD" w:rsidRDefault="00C7474A" w:rsidP="000125CD">
      <w:pPr>
        <w:pStyle w:val="ListParagraph"/>
        <w:numPr>
          <w:ilvl w:val="2"/>
          <w:numId w:val="4"/>
        </w:numPr>
        <w:rPr>
          <w:lang w:val="en-CA"/>
        </w:rPr>
      </w:pPr>
      <w:r>
        <w:t>Hydrocortisone equivalent dose of 30mg tid on day 2</w:t>
      </w:r>
    </w:p>
    <w:p w:rsidR="00C7474A" w:rsidRPr="000125CD" w:rsidRDefault="00C7474A" w:rsidP="000125CD">
      <w:pPr>
        <w:pStyle w:val="ListParagraph"/>
        <w:numPr>
          <w:ilvl w:val="2"/>
          <w:numId w:val="4"/>
        </w:numPr>
        <w:rPr>
          <w:lang w:val="en-CA"/>
        </w:rPr>
      </w:pPr>
      <w:r w:rsidRPr="000125CD">
        <w:t>Hydrocortisone equivalent dose of</w:t>
      </w:r>
      <w:r>
        <w:t xml:space="preserve"> 30mg bid on day 3</w:t>
      </w:r>
    </w:p>
    <w:p w:rsidR="00C7474A" w:rsidRPr="000125CD" w:rsidRDefault="00C7474A" w:rsidP="000125CD">
      <w:pPr>
        <w:pStyle w:val="ListParagraph"/>
        <w:numPr>
          <w:ilvl w:val="2"/>
          <w:numId w:val="4"/>
        </w:numPr>
        <w:rPr>
          <w:lang w:val="en-CA"/>
        </w:rPr>
      </w:pPr>
      <w:r>
        <w:t>From day 4: Pre-admission dose of glucocorticoids or a slightly higher dose if insufficient dose is considered to be the cause or if persistently ill but recovering</w:t>
      </w:r>
    </w:p>
    <w:p w:rsidR="00C7474A" w:rsidRPr="000125CD" w:rsidRDefault="00C7474A" w:rsidP="000125CD">
      <w:pPr>
        <w:pStyle w:val="ListParagraph"/>
        <w:numPr>
          <w:ilvl w:val="0"/>
          <w:numId w:val="4"/>
        </w:numPr>
        <w:rPr>
          <w:u w:val="single"/>
          <w:lang w:val="en-CA"/>
        </w:rPr>
      </w:pPr>
      <w:r w:rsidRPr="000125CD">
        <w:rPr>
          <w:u w:val="single"/>
        </w:rPr>
        <w:t>ADRENAL CRISIS GRADE 3: Patient is unconscious, in hypovolemic shock.</w:t>
      </w:r>
    </w:p>
    <w:p w:rsidR="00C7474A" w:rsidRPr="000125CD" w:rsidRDefault="00C7474A" w:rsidP="000125CD">
      <w:pPr>
        <w:pStyle w:val="ListParagraph"/>
        <w:numPr>
          <w:ilvl w:val="1"/>
          <w:numId w:val="4"/>
        </w:numPr>
        <w:rPr>
          <w:lang w:val="en-CA"/>
        </w:rPr>
      </w:pPr>
      <w:r>
        <w:t>In addition to 2a, 2b, and 2c above, admission to ICU for close monitoring. Adrenal crisis are deadly and some authors refer to a point of no return which, if reached, the outcome will be fatal regardless of the intensity of the treatment provided afterward.</w:t>
      </w:r>
    </w:p>
    <w:p w:rsidR="00C7474A" w:rsidRPr="009B5A8E" w:rsidRDefault="00C7474A" w:rsidP="000125CD">
      <w:pPr>
        <w:pStyle w:val="ListParagraph"/>
        <w:numPr>
          <w:ilvl w:val="1"/>
          <w:numId w:val="4"/>
        </w:numPr>
        <w:rPr>
          <w:lang w:val="en-CA"/>
        </w:rPr>
      </w:pPr>
      <w:r>
        <w:t>When admission to the ICU is necessary full recovery may take several days</w:t>
      </w:r>
    </w:p>
    <w:p w:rsidR="00C7474A" w:rsidRDefault="00C7474A" w:rsidP="009B5A8E">
      <w:pPr>
        <w:pStyle w:val="Heading1"/>
      </w:pPr>
      <w:r>
        <w:t>Prevention</w:t>
      </w:r>
    </w:p>
    <w:p w:rsidR="00C7474A" w:rsidRDefault="00C7474A" w:rsidP="00362B0E">
      <w:pPr>
        <w:pStyle w:val="ListParagraph"/>
        <w:numPr>
          <w:ilvl w:val="2"/>
          <w:numId w:val="4"/>
        </w:numPr>
        <w:rPr>
          <w:lang w:val="en-CA"/>
        </w:rPr>
      </w:pPr>
      <w:r w:rsidRPr="00920F61">
        <w:rPr>
          <w:lang w:val="en-CA"/>
        </w:rPr>
        <w:t>Patients with adrenal insufficiency MUST wear AT ALL TIMES their medical alert medal or bracelets</w:t>
      </w:r>
      <w:r>
        <w:rPr>
          <w:lang w:val="en-CA"/>
        </w:rPr>
        <w:t xml:space="preserve"> with the Adrenal Insufficiency warning</w:t>
      </w:r>
    </w:p>
    <w:p w:rsidR="00C7474A" w:rsidRDefault="00C7474A" w:rsidP="00362B0E">
      <w:pPr>
        <w:pStyle w:val="ListParagraph"/>
        <w:numPr>
          <w:ilvl w:val="2"/>
          <w:numId w:val="4"/>
        </w:numPr>
        <w:rPr>
          <w:lang w:val="en-CA"/>
        </w:rPr>
      </w:pPr>
      <w:r>
        <w:rPr>
          <w:lang w:val="en-CA"/>
        </w:rPr>
        <w:t>Patient MUST carry with them also at all times their Emergency Kit with Solucortef® 100 mg.</w:t>
      </w:r>
    </w:p>
    <w:p w:rsidR="00C7474A" w:rsidRDefault="00C7474A" w:rsidP="00362B0E">
      <w:pPr>
        <w:pStyle w:val="ListParagraph"/>
        <w:numPr>
          <w:ilvl w:val="2"/>
          <w:numId w:val="4"/>
        </w:numPr>
        <w:rPr>
          <w:lang w:val="en-CA"/>
        </w:rPr>
      </w:pPr>
      <w:r>
        <w:rPr>
          <w:lang w:val="en-CA"/>
        </w:rPr>
        <w:t>In case of high mental or emotional stress or strenuous (out of the ordinary for the individual) exercise an extra-dose of about 50% the TDD should suffice. So for the patient taking cortef 10-5-5 it would be an extra dose of 10mg for the day of the event only, and taken one hour before the event (for instance an exam, an appearance in court, a funeral, etc).</w:t>
      </w:r>
    </w:p>
    <w:p w:rsidR="00C7474A" w:rsidRDefault="00C7474A" w:rsidP="00362B0E">
      <w:pPr>
        <w:pStyle w:val="ListParagraph"/>
        <w:numPr>
          <w:ilvl w:val="2"/>
          <w:numId w:val="4"/>
        </w:numPr>
        <w:rPr>
          <w:lang w:val="en-CA"/>
        </w:rPr>
      </w:pPr>
      <w:r>
        <w:rPr>
          <w:lang w:val="en-CA"/>
        </w:rPr>
        <w:t>In case of introduction or discontinuation of certain medication dose adjustments may be necessary:</w:t>
      </w:r>
    </w:p>
    <w:p w:rsidR="00C7474A" w:rsidRPr="004F5B9C" w:rsidRDefault="00C7474A" w:rsidP="00920F61">
      <w:pPr>
        <w:pStyle w:val="ListParagraph"/>
        <w:numPr>
          <w:ilvl w:val="3"/>
          <w:numId w:val="4"/>
        </w:numPr>
        <w:rPr>
          <w:lang w:val="en-CA"/>
        </w:rPr>
      </w:pPr>
      <w:r>
        <w:rPr>
          <w:lang w:val="en-CA"/>
        </w:rPr>
        <w:t xml:space="preserve">Starting or stopping oral contraceptives or estrogen replacement, anticonvulsants, thyroid hormone treatment, </w:t>
      </w:r>
      <w:r w:rsidRPr="00920F61">
        <w:t>mit</w:t>
      </w:r>
      <w:bookmarkStart w:id="0" w:name="_GoBack"/>
      <w:bookmarkEnd w:id="0"/>
      <w:r w:rsidRPr="00920F61">
        <w:t>otane, carbamazepine, St John’s wort, and rifampicin</w:t>
      </w:r>
      <w:r>
        <w:t xml:space="preserve"> (dose of cortisone may need to be increased or decrease respectively)</w:t>
      </w:r>
    </w:p>
    <w:p w:rsidR="00C7474A" w:rsidRPr="00AD5D29" w:rsidRDefault="00C7474A" w:rsidP="004F5B9C">
      <w:pPr>
        <w:pStyle w:val="ListParagraph"/>
        <w:numPr>
          <w:ilvl w:val="2"/>
          <w:numId w:val="4"/>
        </w:numPr>
        <w:rPr>
          <w:lang w:val="en-CA"/>
        </w:rPr>
      </w:pPr>
      <w:r>
        <w:t xml:space="preserve">In case of fever </w:t>
      </w:r>
      <w:r w:rsidRPr="004F5B9C">
        <w:rPr>
          <w:u w:val="single"/>
        </w:rPr>
        <w:t>&gt;38 &lt; 39º C</w:t>
      </w:r>
      <w:r w:rsidRPr="004F5B9C">
        <w:t xml:space="preserve"> the patient </w:t>
      </w:r>
      <w:r>
        <w:t xml:space="preserve">should </w:t>
      </w:r>
      <w:r w:rsidRPr="004F5B9C">
        <w:rPr>
          <w:u w:val="single"/>
        </w:rPr>
        <w:t>double</w:t>
      </w:r>
      <w:r w:rsidRPr="004F5B9C">
        <w:t xml:space="preserve"> the hydrocortisone dose</w:t>
      </w:r>
      <w:r>
        <w:t xml:space="preserve">. In case of fever </w:t>
      </w:r>
      <w:r w:rsidRPr="004C321A">
        <w:rPr>
          <w:u w:val="single"/>
        </w:rPr>
        <w:t>&gt; 39</w:t>
      </w:r>
      <w:r w:rsidRPr="004C321A">
        <w:rPr>
          <w:rFonts w:ascii="Arial Unicode MS" w:eastAsia="Arial Unicode MS" w:hAnsi="Arial Unicode MS" w:cs="Arial Unicode MS" w:hint="eastAsia"/>
          <w:u w:val="single"/>
        </w:rPr>
        <w:t> </w:t>
      </w:r>
      <w:r w:rsidRPr="004C321A">
        <w:rPr>
          <w:rFonts w:cs="Trebuchet MS"/>
          <w:u w:val="single"/>
        </w:rPr>
        <w:t>°</w:t>
      </w:r>
      <w:r w:rsidRPr="004C321A">
        <w:rPr>
          <w:u w:val="single"/>
        </w:rPr>
        <w:t>C</w:t>
      </w:r>
      <w:r w:rsidRPr="004F5B9C">
        <w:t xml:space="preserve"> </w:t>
      </w:r>
      <w:r>
        <w:t>the patient should</w:t>
      </w:r>
      <w:r w:rsidRPr="004F5B9C">
        <w:t xml:space="preserve"> </w:t>
      </w:r>
      <w:r w:rsidRPr="004C321A">
        <w:rPr>
          <w:u w:val="single"/>
        </w:rPr>
        <w:t>triple</w:t>
      </w:r>
      <w:r w:rsidRPr="004F5B9C">
        <w:t xml:space="preserve"> the dose</w:t>
      </w:r>
      <w:r>
        <w:t xml:space="preserve"> of Cortisone</w:t>
      </w:r>
      <w:r w:rsidRPr="004F5B9C">
        <w:t>. This dose is maintained as long as the fever persists and rapidly (within 1</w:t>
      </w:r>
      <w:r w:rsidRPr="004F5B9C">
        <w:rPr>
          <w:rFonts w:cs="Trebuchet MS"/>
        </w:rPr>
        <w:t>–</w:t>
      </w:r>
      <w:r w:rsidRPr="004F5B9C">
        <w:t>2 days) reduced to the standard replacement dose after recovery.</w:t>
      </w:r>
    </w:p>
    <w:p w:rsidR="00C7474A" w:rsidRDefault="00C7474A" w:rsidP="00AD5D29">
      <w:pPr>
        <w:rPr>
          <w:lang w:val="en-CA"/>
        </w:rPr>
      </w:pPr>
    </w:p>
    <w:p w:rsidR="00C7474A" w:rsidRDefault="00C7474A" w:rsidP="00AD5D29">
      <w:pPr>
        <w:rPr>
          <w:lang w:val="en-CA"/>
        </w:rPr>
      </w:pPr>
    </w:p>
    <w:p w:rsidR="00C7474A" w:rsidRDefault="00C7474A" w:rsidP="00AD5D29">
      <w:pPr>
        <w:rPr>
          <w:lang w:val="en-CA"/>
        </w:rPr>
      </w:pPr>
      <w:r>
        <w:rPr>
          <w:lang w:val="en-CA"/>
        </w:rPr>
        <w:t>Prepared by</w:t>
      </w:r>
    </w:p>
    <w:p w:rsidR="00C7474A" w:rsidRPr="003311DA" w:rsidRDefault="00C7474A" w:rsidP="00AD5D29">
      <w:pPr>
        <w:spacing w:after="0" w:line="240" w:lineRule="auto"/>
        <w:rPr>
          <w:rFonts w:ascii="Tahoma" w:hAnsi="Tahoma"/>
          <w:noProof/>
          <w:color w:val="000000"/>
          <w:lang w:eastAsia="en-CA"/>
        </w:rPr>
      </w:pPr>
      <w:r w:rsidRPr="003311DA">
        <w:rPr>
          <w:rFonts w:ascii="Tahoma" w:hAnsi="Tahoma"/>
          <w:b/>
          <w:bCs/>
          <w:noProof/>
          <w:color w:val="000000"/>
          <w:lang w:eastAsia="en-CA"/>
        </w:rPr>
        <w:t>Juan-Andrés Rivera</w:t>
      </w:r>
      <w:r w:rsidRPr="003311DA">
        <w:rPr>
          <w:rFonts w:ascii="Tahoma" w:hAnsi="Tahoma"/>
          <w:noProof/>
          <w:color w:val="000000"/>
          <w:lang w:eastAsia="en-CA"/>
        </w:rPr>
        <w:t>, </w:t>
      </w:r>
      <w:r w:rsidRPr="003311DA">
        <w:rPr>
          <w:rFonts w:ascii="Tahoma" w:hAnsi="Tahoma"/>
          <w:noProof/>
          <w:color w:val="000000"/>
          <w:sz w:val="15"/>
          <w:szCs w:val="15"/>
          <w:lang w:eastAsia="en-CA"/>
        </w:rPr>
        <w:t>MD, FRCPC, FACE, ECNU</w:t>
      </w:r>
    </w:p>
    <w:p w:rsidR="00C7474A" w:rsidRPr="00AD5D29" w:rsidRDefault="00C7474A" w:rsidP="00AD5D29">
      <w:pPr>
        <w:spacing w:after="0" w:line="240" w:lineRule="auto"/>
        <w:rPr>
          <w:rFonts w:ascii="Tahoma" w:hAnsi="Tahoma"/>
          <w:noProof/>
          <w:color w:val="000000"/>
          <w:sz w:val="15"/>
          <w:szCs w:val="15"/>
          <w:lang w:val="en-CA" w:eastAsia="en-CA"/>
        </w:rPr>
      </w:pPr>
      <w:r w:rsidRPr="00AD5D29">
        <w:rPr>
          <w:rFonts w:ascii="Tahoma" w:hAnsi="Tahoma"/>
          <w:noProof/>
          <w:color w:val="000000"/>
          <w:sz w:val="15"/>
          <w:szCs w:val="15"/>
          <w:lang w:val="en-CA" w:eastAsia="en-CA"/>
        </w:rPr>
        <w:t>Division of Endocrinologiy and Metabolism</w:t>
      </w:r>
    </w:p>
    <w:p w:rsidR="00C7474A" w:rsidRPr="00AD5D29" w:rsidRDefault="00C7474A" w:rsidP="00AD5D29">
      <w:pPr>
        <w:spacing w:after="0" w:line="240" w:lineRule="auto"/>
        <w:rPr>
          <w:rFonts w:ascii="Tahoma" w:hAnsi="Tahoma"/>
          <w:noProof/>
          <w:color w:val="000000"/>
          <w:lang w:val="en-CA" w:eastAsia="en-CA"/>
        </w:rPr>
      </w:pPr>
      <w:smartTag w:uri="urn:schemas-microsoft-com:office:smarttags" w:element="place">
        <w:smartTag w:uri="urn:schemas-microsoft-com:office:smarttags" w:element="PlaceName">
          <w:r w:rsidRPr="00AD5D29">
            <w:rPr>
              <w:rFonts w:ascii="Tahoma" w:hAnsi="Tahoma"/>
              <w:noProof/>
              <w:color w:val="000000"/>
              <w:sz w:val="15"/>
              <w:szCs w:val="15"/>
              <w:lang w:val="en-CA" w:eastAsia="en-CA"/>
            </w:rPr>
            <w:t>Montreal General</w:t>
          </w:r>
        </w:smartTag>
        <w:r w:rsidRPr="00AD5D29">
          <w:rPr>
            <w:rFonts w:ascii="Tahoma" w:hAnsi="Tahoma"/>
            <w:noProof/>
            <w:color w:val="000000"/>
            <w:sz w:val="15"/>
            <w:szCs w:val="15"/>
            <w:lang w:val="en-CA" w:eastAsia="en-CA"/>
          </w:rPr>
          <w:t xml:space="preserve"> </w:t>
        </w:r>
        <w:smartTag w:uri="urn:schemas-microsoft-com:office:smarttags" w:element="PlaceType">
          <w:r w:rsidRPr="00AD5D29">
            <w:rPr>
              <w:rFonts w:ascii="Tahoma" w:hAnsi="Tahoma"/>
              <w:noProof/>
              <w:color w:val="000000"/>
              <w:sz w:val="15"/>
              <w:szCs w:val="15"/>
              <w:lang w:val="en-CA" w:eastAsia="en-CA"/>
            </w:rPr>
            <w:t>Hospital</w:t>
          </w:r>
        </w:smartTag>
      </w:smartTag>
    </w:p>
    <w:p w:rsidR="00C7474A" w:rsidRPr="00AD5D29" w:rsidRDefault="00C7474A" w:rsidP="00AD5D29">
      <w:pPr>
        <w:spacing w:after="0" w:line="240" w:lineRule="auto"/>
        <w:rPr>
          <w:rFonts w:ascii="Tahoma" w:hAnsi="Tahoma"/>
          <w:noProof/>
          <w:color w:val="000000"/>
          <w:lang w:val="en-CA" w:eastAsia="en-CA"/>
        </w:rPr>
      </w:pPr>
      <w:r w:rsidRPr="00AD5D29">
        <w:rPr>
          <w:rFonts w:ascii="Tahoma" w:hAnsi="Tahoma"/>
          <w:noProof/>
          <w:color w:val="000000"/>
          <w:sz w:val="15"/>
          <w:szCs w:val="15"/>
          <w:lang w:val="en-CA" w:eastAsia="en-CA"/>
        </w:rPr>
        <w:t xml:space="preserve">Endocrine Tumors Fellowship Director / Associate Professor Department of </w:t>
      </w:r>
      <w:smartTag w:uri="urn:schemas-microsoft-com:office:smarttags" w:element="place">
        <w:smartTag w:uri="urn:schemas-microsoft-com:office:smarttags" w:element="PlaceName">
          <w:r w:rsidRPr="00AD5D29">
            <w:rPr>
              <w:rFonts w:ascii="Tahoma" w:hAnsi="Tahoma"/>
              <w:noProof/>
              <w:color w:val="000000"/>
              <w:sz w:val="15"/>
              <w:szCs w:val="15"/>
              <w:lang w:val="en-CA" w:eastAsia="en-CA"/>
            </w:rPr>
            <w:t>Medicine</w:t>
          </w:r>
        </w:smartTag>
        <w:r w:rsidRPr="00AD5D29">
          <w:rPr>
            <w:rFonts w:ascii="Tahoma" w:hAnsi="Tahoma"/>
            <w:noProof/>
            <w:color w:val="000000"/>
            <w:sz w:val="15"/>
            <w:szCs w:val="15"/>
            <w:lang w:val="en-CA" w:eastAsia="en-CA"/>
          </w:rPr>
          <w:t xml:space="preserve"> </w:t>
        </w:r>
        <w:smartTag w:uri="urn:schemas-microsoft-com:office:smarttags" w:element="PlaceName">
          <w:r w:rsidRPr="00AD5D29">
            <w:rPr>
              <w:rFonts w:ascii="Tahoma" w:hAnsi="Tahoma"/>
              <w:noProof/>
              <w:color w:val="000000"/>
              <w:sz w:val="15"/>
              <w:szCs w:val="15"/>
              <w:lang w:val="en-CA" w:eastAsia="en-CA"/>
            </w:rPr>
            <w:t>McGill</w:t>
          </w:r>
        </w:smartTag>
        <w:r w:rsidRPr="00AD5D29">
          <w:rPr>
            <w:rFonts w:ascii="Tahoma" w:hAnsi="Tahoma"/>
            <w:noProof/>
            <w:color w:val="000000"/>
            <w:sz w:val="15"/>
            <w:szCs w:val="15"/>
            <w:lang w:val="en-CA" w:eastAsia="en-CA"/>
          </w:rPr>
          <w:t xml:space="preserve"> </w:t>
        </w:r>
        <w:smartTag w:uri="urn:schemas-microsoft-com:office:smarttags" w:element="PlaceType">
          <w:r w:rsidRPr="00AD5D29">
            <w:rPr>
              <w:rFonts w:ascii="Tahoma" w:hAnsi="Tahoma"/>
              <w:noProof/>
              <w:color w:val="000000"/>
              <w:sz w:val="15"/>
              <w:szCs w:val="15"/>
              <w:lang w:val="en-CA" w:eastAsia="en-CA"/>
            </w:rPr>
            <w:t>University</w:t>
          </w:r>
        </w:smartTag>
      </w:smartTag>
    </w:p>
    <w:p w:rsidR="00C7474A" w:rsidRPr="00AD5D29" w:rsidRDefault="00C7474A" w:rsidP="00AD5D29">
      <w:pPr>
        <w:spacing w:after="0" w:line="240" w:lineRule="auto"/>
        <w:rPr>
          <w:rFonts w:ascii="Tahoma" w:hAnsi="Tahoma"/>
          <w:noProof/>
          <w:color w:val="000000"/>
          <w:lang w:val="en-CA" w:eastAsia="en-CA"/>
        </w:rPr>
      </w:pPr>
      <w:smartTag w:uri="urn:schemas-microsoft-com:office:smarttags" w:element="address">
        <w:smartTag w:uri="urn:schemas-microsoft-com:office:smarttags" w:element="Street">
          <w:r w:rsidRPr="00AD5D29">
            <w:rPr>
              <w:rFonts w:ascii="Tahoma" w:hAnsi="Tahoma"/>
              <w:noProof/>
              <w:color w:val="000000"/>
              <w:sz w:val="15"/>
              <w:szCs w:val="15"/>
              <w:lang w:val="en-CA" w:eastAsia="en-CA"/>
            </w:rPr>
            <w:t>1650 Cedar Avenue</w:t>
          </w:r>
        </w:smartTag>
      </w:smartTag>
      <w:r w:rsidRPr="00AD5D29">
        <w:rPr>
          <w:rFonts w:ascii="Tahoma" w:hAnsi="Tahoma"/>
          <w:noProof/>
          <w:color w:val="000000"/>
          <w:sz w:val="15"/>
          <w:szCs w:val="15"/>
          <w:lang w:val="en-CA" w:eastAsia="en-CA"/>
        </w:rPr>
        <w:t>, office C6.129.1 - </w:t>
      </w:r>
      <w:smartTag w:uri="urn:schemas-microsoft-com:office:smarttags" w:element="place">
        <w:smartTag w:uri="urn:schemas-microsoft-com:office:smarttags" w:element="City">
          <w:r w:rsidRPr="00AD5D29">
            <w:rPr>
              <w:rFonts w:ascii="Tahoma" w:hAnsi="Tahoma"/>
              <w:noProof/>
              <w:color w:val="000000"/>
              <w:sz w:val="15"/>
              <w:szCs w:val="15"/>
              <w:lang w:val="en-CA" w:eastAsia="en-CA"/>
            </w:rPr>
            <w:t>Montreal</w:t>
          </w:r>
        </w:smartTag>
        <w:r w:rsidRPr="00AD5D29">
          <w:rPr>
            <w:rFonts w:ascii="Tahoma" w:hAnsi="Tahoma"/>
            <w:noProof/>
            <w:color w:val="000000"/>
            <w:sz w:val="15"/>
            <w:szCs w:val="15"/>
            <w:lang w:val="en-CA" w:eastAsia="en-CA"/>
          </w:rPr>
          <w:t xml:space="preserve">, </w:t>
        </w:r>
        <w:smartTag w:uri="urn:schemas-microsoft-com:office:smarttags" w:element="State">
          <w:r w:rsidRPr="00AD5D29">
            <w:rPr>
              <w:rFonts w:ascii="Tahoma" w:hAnsi="Tahoma"/>
              <w:noProof/>
              <w:color w:val="000000"/>
              <w:sz w:val="15"/>
              <w:szCs w:val="15"/>
              <w:lang w:val="en-CA" w:eastAsia="en-CA"/>
            </w:rPr>
            <w:t>QC</w:t>
          </w:r>
        </w:smartTag>
        <w:r w:rsidRPr="00AD5D29">
          <w:rPr>
            <w:rFonts w:ascii="Tahoma" w:hAnsi="Tahoma"/>
            <w:noProof/>
            <w:color w:val="000000"/>
            <w:sz w:val="15"/>
            <w:szCs w:val="15"/>
            <w:lang w:val="en-CA" w:eastAsia="en-CA"/>
          </w:rPr>
          <w:t xml:space="preserve"> </w:t>
        </w:r>
        <w:smartTag w:uri="urn:schemas-microsoft-com:office:smarttags" w:element="PostalCode">
          <w:r w:rsidRPr="00AD5D29">
            <w:rPr>
              <w:rFonts w:ascii="Tahoma" w:hAnsi="Tahoma"/>
              <w:noProof/>
              <w:color w:val="000000"/>
              <w:sz w:val="15"/>
              <w:szCs w:val="15"/>
              <w:lang w:val="en-CA" w:eastAsia="en-CA"/>
            </w:rPr>
            <w:t>H3G 1A4</w:t>
          </w:r>
        </w:smartTag>
      </w:smartTag>
    </w:p>
    <w:p w:rsidR="00C7474A" w:rsidRPr="00AD5D29" w:rsidRDefault="00C7474A" w:rsidP="00AD5D29">
      <w:pPr>
        <w:rPr>
          <w:lang w:val="en-CA"/>
        </w:rPr>
      </w:pPr>
      <w:r w:rsidRPr="00AD5D29">
        <w:rPr>
          <w:rFonts w:ascii="Tahoma" w:hAnsi="Tahoma"/>
          <w:noProof/>
          <w:color w:val="000000"/>
          <w:sz w:val="15"/>
          <w:szCs w:val="15"/>
          <w:lang w:val="fr-CA" w:eastAsia="en-CA"/>
        </w:rPr>
        <w:t>Tel (514) 934-8000 / Fax (514) 934-8361</w:t>
      </w:r>
    </w:p>
    <w:p w:rsidR="00C7474A" w:rsidRPr="009B5A8E" w:rsidRDefault="00C7474A" w:rsidP="004F5B9C">
      <w:pPr>
        <w:pStyle w:val="ListParagraph"/>
        <w:ind w:left="2880"/>
        <w:rPr>
          <w:lang w:val="en-CA"/>
        </w:rPr>
      </w:pPr>
    </w:p>
    <w:sectPr w:rsidR="00C7474A" w:rsidRPr="009B5A8E" w:rsidSect="00DD0AFC">
      <w:pgSz w:w="12240" w:h="15840"/>
      <w:pgMar w:top="899" w:right="1440" w:bottom="719"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STXinwei">
    <w:altName w:val="SimSun"/>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FZYaoTi">
    <w:altName w:val="¡¤??y¨°|¨¬?"/>
    <w:panose1 w:val="00000000000000000000"/>
    <w:charset w:val="86"/>
    <w:family w:val="roman"/>
    <w:notTrueType/>
    <w:pitch w:val="default"/>
    <w:sig w:usb0="00000001" w:usb1="080E0000" w:usb2="00000010" w:usb3="00000000" w:csb0="00040000" w:csb1="00000000"/>
  </w:font>
  <w:font w:name="Segoe UI">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217626"/>
    <w:multiLevelType w:val="hybridMultilevel"/>
    <w:tmpl w:val="B42A2FA2"/>
    <w:lvl w:ilvl="0" w:tplc="1009000F">
      <w:start w:val="1"/>
      <w:numFmt w:val="decimal"/>
      <w:lvlText w:val="%1."/>
      <w:lvlJc w:val="left"/>
      <w:pPr>
        <w:ind w:left="720" w:hanging="360"/>
      </w:pPr>
      <w:rPr>
        <w:rFonts w:cs="Times New Roman"/>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1">
    <w:nsid w:val="47497F11"/>
    <w:multiLevelType w:val="hybridMultilevel"/>
    <w:tmpl w:val="FBA6CD6A"/>
    <w:lvl w:ilvl="0" w:tplc="1009000F">
      <w:start w:val="1"/>
      <w:numFmt w:val="decimal"/>
      <w:lvlText w:val="%1."/>
      <w:lvlJc w:val="left"/>
      <w:pPr>
        <w:ind w:left="720" w:hanging="360"/>
      </w:pPr>
      <w:rPr>
        <w:rFonts w:cs="Times New Roman"/>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1009000F">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2">
    <w:nsid w:val="602C2FF0"/>
    <w:multiLevelType w:val="hybridMultilevel"/>
    <w:tmpl w:val="A9CA4678"/>
    <w:lvl w:ilvl="0" w:tplc="1009000F">
      <w:start w:val="1"/>
      <w:numFmt w:val="decimal"/>
      <w:lvlText w:val="%1."/>
      <w:lvlJc w:val="left"/>
      <w:pPr>
        <w:ind w:left="720" w:hanging="360"/>
      </w:pPr>
      <w:rPr>
        <w:rFonts w:cs="Times New Roman"/>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3">
    <w:nsid w:val="61C923FE"/>
    <w:multiLevelType w:val="hybridMultilevel"/>
    <w:tmpl w:val="E8D4C7A8"/>
    <w:lvl w:ilvl="0" w:tplc="1009000F">
      <w:start w:val="1"/>
      <w:numFmt w:val="decimal"/>
      <w:lvlText w:val="%1."/>
      <w:lvlJc w:val="left"/>
      <w:pPr>
        <w:ind w:left="720" w:hanging="360"/>
      </w:pPr>
      <w:rPr>
        <w:rFonts w:cs="Times New Roman"/>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4">
    <w:nsid w:val="6E421C8D"/>
    <w:multiLevelType w:val="hybridMultilevel"/>
    <w:tmpl w:val="24C4C3FE"/>
    <w:lvl w:ilvl="0" w:tplc="1009000F">
      <w:start w:val="1"/>
      <w:numFmt w:val="decimal"/>
      <w:lvlText w:val="%1."/>
      <w:lvlJc w:val="left"/>
      <w:pPr>
        <w:ind w:left="720" w:hanging="360"/>
      </w:pPr>
      <w:rPr>
        <w:rFonts w:cs="Times New Roman"/>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08"/>
  <w:hyphenationZone w:val="425"/>
  <w:characterSpacingControl w:val="doNotCompress"/>
  <w:compat>
    <w:applyBreaking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3418D"/>
    <w:rsid w:val="000125CD"/>
    <w:rsid w:val="000502DD"/>
    <w:rsid w:val="00055197"/>
    <w:rsid w:val="000A4C41"/>
    <w:rsid w:val="000C5F4D"/>
    <w:rsid w:val="001B2C5E"/>
    <w:rsid w:val="001D4918"/>
    <w:rsid w:val="002264D0"/>
    <w:rsid w:val="00245B3B"/>
    <w:rsid w:val="003311DA"/>
    <w:rsid w:val="0033418D"/>
    <w:rsid w:val="00362B0E"/>
    <w:rsid w:val="003E2BA5"/>
    <w:rsid w:val="003F531E"/>
    <w:rsid w:val="004073A5"/>
    <w:rsid w:val="0045065B"/>
    <w:rsid w:val="004C321A"/>
    <w:rsid w:val="004F5B9C"/>
    <w:rsid w:val="00581328"/>
    <w:rsid w:val="005A0B24"/>
    <w:rsid w:val="005B7772"/>
    <w:rsid w:val="00684AAA"/>
    <w:rsid w:val="00732118"/>
    <w:rsid w:val="00753274"/>
    <w:rsid w:val="00793BE0"/>
    <w:rsid w:val="007D1EE4"/>
    <w:rsid w:val="008803AE"/>
    <w:rsid w:val="008D62CA"/>
    <w:rsid w:val="00920F61"/>
    <w:rsid w:val="009B11F9"/>
    <w:rsid w:val="009B5A8E"/>
    <w:rsid w:val="00AD5D29"/>
    <w:rsid w:val="00C7474A"/>
    <w:rsid w:val="00CC55A7"/>
    <w:rsid w:val="00CE6ADB"/>
    <w:rsid w:val="00D1497B"/>
    <w:rsid w:val="00DD0AFC"/>
    <w:rsid w:val="00E36A3A"/>
    <w:rsid w:val="00ED4999"/>
    <w:rsid w:val="00F94F0F"/>
    <w:rsid w:val="00FA167D"/>
    <w:rsid w:val="00FE4492"/>
  </w:rsids>
  <m:mathPr>
    <m:mathFont m:val="Cambria Math"/>
    <m:brkBin m:val="before"/>
    <m:brkBinSub m:val="--"/>
    <m:smallFrac m:val="off"/>
    <m:dispDef/>
    <m:lMargin m:val="0"/>
    <m:rMargin m:val="0"/>
    <m:defJc m:val="centerGroup"/>
    <m:wrapIndent m:val="1440"/>
    <m:intLim m:val="subSup"/>
    <m:naryLim m:val="undOvr"/>
  </m:mathPr>
  <w:uiCompat97To2003/>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rebuchet MS" w:eastAsia="STXinwei" w:hAnsi="Trebuchet MS" w:cs="Tahoma"/>
        <w:sz w:val="22"/>
        <w:szCs w:val="22"/>
        <w:lang w:val="en-CA" w:eastAsia="en-CA"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5A0B24"/>
    <w:pPr>
      <w:spacing w:after="120" w:line="264" w:lineRule="auto"/>
    </w:pPr>
    <w:rPr>
      <w:sz w:val="20"/>
      <w:szCs w:val="20"/>
      <w:lang w:val="en-US" w:eastAsia="ja-JP"/>
    </w:rPr>
  </w:style>
  <w:style w:type="paragraph" w:styleId="Heading1">
    <w:name w:val="heading 1"/>
    <w:basedOn w:val="Normal"/>
    <w:next w:val="Normal"/>
    <w:link w:val="Heading1Char"/>
    <w:uiPriority w:val="99"/>
    <w:qFormat/>
    <w:rsid w:val="005A0B24"/>
    <w:pPr>
      <w:keepNext/>
      <w:keepLines/>
      <w:pBdr>
        <w:bottom w:val="single" w:sz="4" w:space="1" w:color="90C226"/>
      </w:pBdr>
      <w:spacing w:before="400" w:after="40" w:line="240" w:lineRule="auto"/>
      <w:outlineLvl w:val="0"/>
    </w:pPr>
    <w:rPr>
      <w:rFonts w:eastAsia="FZYaoTi"/>
      <w:color w:val="90C226"/>
      <w:sz w:val="32"/>
      <w:szCs w:val="32"/>
    </w:rPr>
  </w:style>
  <w:style w:type="paragraph" w:styleId="Heading2">
    <w:name w:val="heading 2"/>
    <w:basedOn w:val="Normal"/>
    <w:next w:val="Normal"/>
    <w:link w:val="Heading2Char"/>
    <w:uiPriority w:val="99"/>
    <w:qFormat/>
    <w:rsid w:val="005A0B24"/>
    <w:pPr>
      <w:keepNext/>
      <w:keepLines/>
      <w:spacing w:before="160" w:after="0" w:line="240" w:lineRule="auto"/>
      <w:outlineLvl w:val="1"/>
    </w:pPr>
    <w:rPr>
      <w:rFonts w:eastAsia="FZYaoTi"/>
      <w:color w:val="90C226"/>
      <w:sz w:val="28"/>
      <w:szCs w:val="28"/>
    </w:rPr>
  </w:style>
  <w:style w:type="paragraph" w:styleId="Heading3">
    <w:name w:val="heading 3"/>
    <w:basedOn w:val="Normal"/>
    <w:next w:val="Normal"/>
    <w:link w:val="Heading3Char"/>
    <w:uiPriority w:val="99"/>
    <w:qFormat/>
    <w:rsid w:val="005A0B24"/>
    <w:pPr>
      <w:keepNext/>
      <w:keepLines/>
      <w:spacing w:before="80" w:after="0" w:line="240" w:lineRule="auto"/>
      <w:outlineLvl w:val="2"/>
    </w:pPr>
    <w:rPr>
      <w:rFonts w:eastAsia="FZYaoTi"/>
      <w:color w:val="404040"/>
      <w:sz w:val="26"/>
      <w:szCs w:val="26"/>
    </w:rPr>
  </w:style>
  <w:style w:type="paragraph" w:styleId="Heading4">
    <w:name w:val="heading 4"/>
    <w:basedOn w:val="Normal"/>
    <w:next w:val="Normal"/>
    <w:link w:val="Heading4Char"/>
    <w:uiPriority w:val="99"/>
    <w:qFormat/>
    <w:rsid w:val="005A0B24"/>
    <w:pPr>
      <w:keepNext/>
      <w:keepLines/>
      <w:spacing w:before="80" w:after="0"/>
      <w:outlineLvl w:val="3"/>
    </w:pPr>
    <w:rPr>
      <w:rFonts w:eastAsia="FZYaoTi"/>
      <w:sz w:val="24"/>
      <w:szCs w:val="24"/>
    </w:rPr>
  </w:style>
  <w:style w:type="paragraph" w:styleId="Heading5">
    <w:name w:val="heading 5"/>
    <w:basedOn w:val="Normal"/>
    <w:next w:val="Normal"/>
    <w:link w:val="Heading5Char"/>
    <w:uiPriority w:val="99"/>
    <w:qFormat/>
    <w:rsid w:val="005A0B24"/>
    <w:pPr>
      <w:keepNext/>
      <w:keepLines/>
      <w:spacing w:before="80" w:after="0"/>
      <w:outlineLvl w:val="4"/>
    </w:pPr>
    <w:rPr>
      <w:rFonts w:eastAsia="FZYaoTi"/>
      <w:i/>
      <w:iCs/>
      <w:sz w:val="22"/>
      <w:szCs w:val="22"/>
    </w:rPr>
  </w:style>
  <w:style w:type="paragraph" w:styleId="Heading6">
    <w:name w:val="heading 6"/>
    <w:basedOn w:val="Normal"/>
    <w:next w:val="Normal"/>
    <w:link w:val="Heading6Char"/>
    <w:uiPriority w:val="99"/>
    <w:qFormat/>
    <w:rsid w:val="005A0B24"/>
    <w:pPr>
      <w:keepNext/>
      <w:keepLines/>
      <w:spacing w:before="80" w:after="0"/>
      <w:outlineLvl w:val="5"/>
    </w:pPr>
    <w:rPr>
      <w:rFonts w:eastAsia="FZYaoTi"/>
      <w:color w:val="595959"/>
    </w:rPr>
  </w:style>
  <w:style w:type="paragraph" w:styleId="Heading7">
    <w:name w:val="heading 7"/>
    <w:basedOn w:val="Normal"/>
    <w:next w:val="Normal"/>
    <w:link w:val="Heading7Char"/>
    <w:uiPriority w:val="99"/>
    <w:qFormat/>
    <w:rsid w:val="005A0B24"/>
    <w:pPr>
      <w:keepNext/>
      <w:keepLines/>
      <w:spacing w:before="80" w:after="0"/>
      <w:outlineLvl w:val="6"/>
    </w:pPr>
    <w:rPr>
      <w:rFonts w:eastAsia="FZYaoTi"/>
      <w:i/>
      <w:iCs/>
      <w:color w:val="595959"/>
    </w:rPr>
  </w:style>
  <w:style w:type="paragraph" w:styleId="Heading8">
    <w:name w:val="heading 8"/>
    <w:basedOn w:val="Normal"/>
    <w:next w:val="Normal"/>
    <w:link w:val="Heading8Char"/>
    <w:uiPriority w:val="99"/>
    <w:qFormat/>
    <w:rsid w:val="005A0B24"/>
    <w:pPr>
      <w:keepNext/>
      <w:keepLines/>
      <w:spacing w:before="80" w:after="0"/>
      <w:outlineLvl w:val="7"/>
    </w:pPr>
    <w:rPr>
      <w:rFonts w:eastAsia="FZYaoTi"/>
      <w:smallCaps/>
      <w:color w:val="595959"/>
    </w:rPr>
  </w:style>
  <w:style w:type="paragraph" w:styleId="Heading9">
    <w:name w:val="heading 9"/>
    <w:basedOn w:val="Normal"/>
    <w:next w:val="Normal"/>
    <w:link w:val="Heading9Char"/>
    <w:uiPriority w:val="99"/>
    <w:qFormat/>
    <w:rsid w:val="005A0B24"/>
    <w:pPr>
      <w:keepNext/>
      <w:keepLines/>
      <w:spacing w:before="80" w:after="0"/>
      <w:outlineLvl w:val="8"/>
    </w:pPr>
    <w:rPr>
      <w:rFonts w:eastAsia="FZYaoTi"/>
      <w:i/>
      <w:iCs/>
      <w:smallCaps/>
      <w:color w:val="595959"/>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A0B24"/>
    <w:rPr>
      <w:rFonts w:ascii="Trebuchet MS" w:eastAsia="FZYaoTi" w:hAnsi="Trebuchet MS" w:cs="Tahoma"/>
      <w:color w:val="90C226"/>
      <w:sz w:val="32"/>
      <w:szCs w:val="32"/>
    </w:rPr>
  </w:style>
  <w:style w:type="character" w:customStyle="1" w:styleId="Heading2Char">
    <w:name w:val="Heading 2 Char"/>
    <w:basedOn w:val="DefaultParagraphFont"/>
    <w:link w:val="Heading2"/>
    <w:uiPriority w:val="99"/>
    <w:semiHidden/>
    <w:locked/>
    <w:rsid w:val="005A0B24"/>
    <w:rPr>
      <w:rFonts w:ascii="Trebuchet MS" w:eastAsia="FZYaoTi" w:hAnsi="Trebuchet MS" w:cs="Tahoma"/>
      <w:color w:val="90C226"/>
      <w:sz w:val="28"/>
      <w:szCs w:val="28"/>
    </w:rPr>
  </w:style>
  <w:style w:type="character" w:customStyle="1" w:styleId="Heading3Char">
    <w:name w:val="Heading 3 Char"/>
    <w:basedOn w:val="DefaultParagraphFont"/>
    <w:link w:val="Heading3"/>
    <w:uiPriority w:val="99"/>
    <w:semiHidden/>
    <w:locked/>
    <w:rsid w:val="005A0B24"/>
    <w:rPr>
      <w:rFonts w:ascii="Trebuchet MS" w:eastAsia="FZYaoTi" w:hAnsi="Trebuchet MS" w:cs="Tahoma"/>
      <w:color w:val="404040"/>
      <w:sz w:val="26"/>
      <w:szCs w:val="26"/>
    </w:rPr>
  </w:style>
  <w:style w:type="character" w:customStyle="1" w:styleId="Heading4Char">
    <w:name w:val="Heading 4 Char"/>
    <w:basedOn w:val="DefaultParagraphFont"/>
    <w:link w:val="Heading4"/>
    <w:uiPriority w:val="99"/>
    <w:semiHidden/>
    <w:locked/>
    <w:rsid w:val="005A0B24"/>
    <w:rPr>
      <w:rFonts w:ascii="Trebuchet MS" w:eastAsia="FZYaoTi" w:hAnsi="Trebuchet MS" w:cs="Tahoma"/>
      <w:sz w:val="24"/>
      <w:szCs w:val="24"/>
    </w:rPr>
  </w:style>
  <w:style w:type="character" w:customStyle="1" w:styleId="Heading5Char">
    <w:name w:val="Heading 5 Char"/>
    <w:basedOn w:val="DefaultParagraphFont"/>
    <w:link w:val="Heading5"/>
    <w:uiPriority w:val="99"/>
    <w:semiHidden/>
    <w:locked/>
    <w:rsid w:val="005A0B24"/>
    <w:rPr>
      <w:rFonts w:ascii="Trebuchet MS" w:eastAsia="FZYaoTi" w:hAnsi="Trebuchet MS" w:cs="Tahoma"/>
      <w:i/>
      <w:iCs/>
      <w:sz w:val="22"/>
      <w:szCs w:val="22"/>
    </w:rPr>
  </w:style>
  <w:style w:type="character" w:customStyle="1" w:styleId="Heading6Char">
    <w:name w:val="Heading 6 Char"/>
    <w:basedOn w:val="DefaultParagraphFont"/>
    <w:link w:val="Heading6"/>
    <w:uiPriority w:val="99"/>
    <w:semiHidden/>
    <w:locked/>
    <w:rsid w:val="005A0B24"/>
    <w:rPr>
      <w:rFonts w:ascii="Trebuchet MS" w:eastAsia="FZYaoTi" w:hAnsi="Trebuchet MS" w:cs="Tahoma"/>
      <w:color w:val="595959"/>
    </w:rPr>
  </w:style>
  <w:style w:type="character" w:customStyle="1" w:styleId="Heading7Char">
    <w:name w:val="Heading 7 Char"/>
    <w:basedOn w:val="DefaultParagraphFont"/>
    <w:link w:val="Heading7"/>
    <w:uiPriority w:val="99"/>
    <w:semiHidden/>
    <w:locked/>
    <w:rsid w:val="005A0B24"/>
    <w:rPr>
      <w:rFonts w:ascii="Trebuchet MS" w:eastAsia="FZYaoTi" w:hAnsi="Trebuchet MS" w:cs="Tahoma"/>
      <w:i/>
      <w:iCs/>
      <w:color w:val="595959"/>
    </w:rPr>
  </w:style>
  <w:style w:type="character" w:customStyle="1" w:styleId="Heading8Char">
    <w:name w:val="Heading 8 Char"/>
    <w:basedOn w:val="DefaultParagraphFont"/>
    <w:link w:val="Heading8"/>
    <w:uiPriority w:val="99"/>
    <w:semiHidden/>
    <w:locked/>
    <w:rsid w:val="005A0B24"/>
    <w:rPr>
      <w:rFonts w:ascii="Trebuchet MS" w:eastAsia="FZYaoTi" w:hAnsi="Trebuchet MS" w:cs="Tahoma"/>
      <w:smallCaps/>
      <w:color w:val="595959"/>
    </w:rPr>
  </w:style>
  <w:style w:type="character" w:customStyle="1" w:styleId="Heading9Char">
    <w:name w:val="Heading 9 Char"/>
    <w:basedOn w:val="DefaultParagraphFont"/>
    <w:link w:val="Heading9"/>
    <w:uiPriority w:val="99"/>
    <w:semiHidden/>
    <w:locked/>
    <w:rsid w:val="005A0B24"/>
    <w:rPr>
      <w:rFonts w:ascii="Trebuchet MS" w:eastAsia="FZYaoTi" w:hAnsi="Trebuchet MS" w:cs="Tahoma"/>
      <w:i/>
      <w:iCs/>
      <w:smallCaps/>
      <w:color w:val="595959"/>
    </w:rPr>
  </w:style>
  <w:style w:type="paragraph" w:styleId="Title">
    <w:name w:val="Title"/>
    <w:basedOn w:val="Normal"/>
    <w:next w:val="Normal"/>
    <w:link w:val="TitleChar"/>
    <w:uiPriority w:val="99"/>
    <w:qFormat/>
    <w:rsid w:val="005A0B24"/>
    <w:pPr>
      <w:spacing w:after="0" w:line="240" w:lineRule="auto"/>
      <w:contextualSpacing/>
    </w:pPr>
    <w:rPr>
      <w:rFonts w:eastAsia="FZYaoTi"/>
      <w:color w:val="90C226"/>
      <w:spacing w:val="-7"/>
      <w:sz w:val="64"/>
      <w:szCs w:val="64"/>
    </w:rPr>
  </w:style>
  <w:style w:type="character" w:customStyle="1" w:styleId="TitleChar">
    <w:name w:val="Title Char"/>
    <w:basedOn w:val="DefaultParagraphFont"/>
    <w:link w:val="Title"/>
    <w:uiPriority w:val="99"/>
    <w:locked/>
    <w:rsid w:val="005A0B24"/>
    <w:rPr>
      <w:rFonts w:ascii="Trebuchet MS" w:eastAsia="FZYaoTi" w:hAnsi="Trebuchet MS" w:cs="Tahoma"/>
      <w:color w:val="90C226"/>
      <w:spacing w:val="-7"/>
      <w:sz w:val="64"/>
      <w:szCs w:val="64"/>
    </w:rPr>
  </w:style>
  <w:style w:type="paragraph" w:styleId="Subtitle">
    <w:name w:val="Subtitle"/>
    <w:basedOn w:val="Normal"/>
    <w:next w:val="Normal"/>
    <w:link w:val="SubtitleChar"/>
    <w:uiPriority w:val="99"/>
    <w:qFormat/>
    <w:rsid w:val="005A0B24"/>
    <w:pPr>
      <w:numPr>
        <w:ilvl w:val="1"/>
      </w:numPr>
      <w:spacing w:after="240" w:line="240" w:lineRule="auto"/>
    </w:pPr>
    <w:rPr>
      <w:rFonts w:eastAsia="FZYaoTi"/>
      <w:color w:val="404040"/>
      <w:sz w:val="28"/>
      <w:szCs w:val="28"/>
    </w:rPr>
  </w:style>
  <w:style w:type="character" w:customStyle="1" w:styleId="SubtitleChar">
    <w:name w:val="Subtitle Char"/>
    <w:basedOn w:val="DefaultParagraphFont"/>
    <w:link w:val="Subtitle"/>
    <w:uiPriority w:val="99"/>
    <w:locked/>
    <w:rsid w:val="005A0B24"/>
    <w:rPr>
      <w:rFonts w:ascii="Trebuchet MS" w:eastAsia="FZYaoTi" w:hAnsi="Trebuchet MS" w:cs="Tahoma"/>
      <w:color w:val="404040"/>
      <w:sz w:val="28"/>
      <w:szCs w:val="28"/>
    </w:rPr>
  </w:style>
  <w:style w:type="character" w:styleId="SubtleEmphasis">
    <w:name w:val="Subtle Emphasis"/>
    <w:basedOn w:val="DefaultParagraphFont"/>
    <w:uiPriority w:val="99"/>
    <w:qFormat/>
    <w:rsid w:val="005A0B24"/>
    <w:rPr>
      <w:rFonts w:cs="Times New Roman"/>
      <w:i/>
      <w:iCs/>
      <w:color w:val="595959"/>
    </w:rPr>
  </w:style>
  <w:style w:type="character" w:styleId="Emphasis">
    <w:name w:val="Emphasis"/>
    <w:basedOn w:val="DefaultParagraphFont"/>
    <w:uiPriority w:val="99"/>
    <w:qFormat/>
    <w:rsid w:val="005A0B24"/>
    <w:rPr>
      <w:rFonts w:cs="Times New Roman"/>
      <w:i/>
      <w:iCs/>
    </w:rPr>
  </w:style>
  <w:style w:type="character" w:styleId="IntenseEmphasis">
    <w:name w:val="Intense Emphasis"/>
    <w:basedOn w:val="DefaultParagraphFont"/>
    <w:uiPriority w:val="99"/>
    <w:qFormat/>
    <w:rsid w:val="005A0B24"/>
    <w:rPr>
      <w:rFonts w:cs="Times New Roman"/>
      <w:b/>
      <w:bCs/>
      <w:i/>
      <w:iCs/>
    </w:rPr>
  </w:style>
  <w:style w:type="character" w:styleId="Strong">
    <w:name w:val="Strong"/>
    <w:basedOn w:val="DefaultParagraphFont"/>
    <w:uiPriority w:val="99"/>
    <w:qFormat/>
    <w:rsid w:val="005A0B24"/>
    <w:rPr>
      <w:rFonts w:cs="Times New Roman"/>
      <w:b/>
      <w:bCs/>
    </w:rPr>
  </w:style>
  <w:style w:type="paragraph" w:styleId="Quote">
    <w:name w:val="Quote"/>
    <w:basedOn w:val="Normal"/>
    <w:next w:val="Normal"/>
    <w:link w:val="QuoteChar"/>
    <w:uiPriority w:val="99"/>
    <w:qFormat/>
    <w:rsid w:val="005A0B24"/>
    <w:pPr>
      <w:spacing w:before="240" w:after="240" w:line="252" w:lineRule="auto"/>
      <w:ind w:left="864" w:right="864"/>
      <w:jc w:val="center"/>
    </w:pPr>
    <w:rPr>
      <w:i/>
      <w:iCs/>
    </w:rPr>
  </w:style>
  <w:style w:type="character" w:customStyle="1" w:styleId="QuoteChar">
    <w:name w:val="Quote Char"/>
    <w:basedOn w:val="DefaultParagraphFont"/>
    <w:link w:val="Quote"/>
    <w:uiPriority w:val="99"/>
    <w:locked/>
    <w:rsid w:val="005A0B24"/>
    <w:rPr>
      <w:rFonts w:cs="Times New Roman"/>
      <w:i/>
      <w:iCs/>
    </w:rPr>
  </w:style>
  <w:style w:type="paragraph" w:styleId="IntenseQuote">
    <w:name w:val="Intense Quote"/>
    <w:basedOn w:val="Normal"/>
    <w:next w:val="Normal"/>
    <w:link w:val="IntenseQuoteChar"/>
    <w:uiPriority w:val="99"/>
    <w:qFormat/>
    <w:rsid w:val="005A0B24"/>
    <w:pPr>
      <w:spacing w:before="100" w:beforeAutospacing="1" w:after="240"/>
      <w:ind w:left="864" w:right="864"/>
      <w:jc w:val="center"/>
    </w:pPr>
    <w:rPr>
      <w:rFonts w:eastAsia="FZYaoTi"/>
      <w:color w:val="90C226"/>
      <w:sz w:val="28"/>
      <w:szCs w:val="28"/>
    </w:rPr>
  </w:style>
  <w:style w:type="character" w:customStyle="1" w:styleId="IntenseQuoteChar">
    <w:name w:val="Intense Quote Char"/>
    <w:basedOn w:val="DefaultParagraphFont"/>
    <w:link w:val="IntenseQuote"/>
    <w:uiPriority w:val="99"/>
    <w:locked/>
    <w:rsid w:val="005A0B24"/>
    <w:rPr>
      <w:rFonts w:ascii="Trebuchet MS" w:eastAsia="FZYaoTi" w:hAnsi="Trebuchet MS" w:cs="Tahoma"/>
      <w:color w:val="90C226"/>
      <w:sz w:val="28"/>
      <w:szCs w:val="28"/>
    </w:rPr>
  </w:style>
  <w:style w:type="character" w:styleId="SubtleReference">
    <w:name w:val="Subtle Reference"/>
    <w:basedOn w:val="DefaultParagraphFont"/>
    <w:uiPriority w:val="99"/>
    <w:qFormat/>
    <w:rsid w:val="005A0B24"/>
    <w:rPr>
      <w:rFonts w:cs="Times New Roman"/>
      <w:smallCaps/>
      <w:color w:val="404040"/>
    </w:rPr>
  </w:style>
  <w:style w:type="character" w:styleId="IntenseReference">
    <w:name w:val="Intense Reference"/>
    <w:basedOn w:val="DefaultParagraphFont"/>
    <w:uiPriority w:val="99"/>
    <w:qFormat/>
    <w:rsid w:val="005A0B24"/>
    <w:rPr>
      <w:rFonts w:cs="Times New Roman"/>
      <w:b/>
      <w:bCs/>
      <w:smallCaps/>
      <w:u w:val="single"/>
    </w:rPr>
  </w:style>
  <w:style w:type="character" w:styleId="BookTitle">
    <w:name w:val="Book Title"/>
    <w:basedOn w:val="DefaultParagraphFont"/>
    <w:uiPriority w:val="99"/>
    <w:qFormat/>
    <w:rsid w:val="005A0B24"/>
    <w:rPr>
      <w:rFonts w:cs="Times New Roman"/>
      <w:b/>
      <w:bCs/>
      <w:smallCaps/>
    </w:rPr>
  </w:style>
  <w:style w:type="paragraph" w:styleId="Caption">
    <w:name w:val="caption"/>
    <w:basedOn w:val="Normal"/>
    <w:next w:val="Normal"/>
    <w:uiPriority w:val="99"/>
    <w:qFormat/>
    <w:rsid w:val="005A0B24"/>
    <w:pPr>
      <w:spacing w:line="240" w:lineRule="auto"/>
    </w:pPr>
    <w:rPr>
      <w:b/>
      <w:bCs/>
      <w:color w:val="404040"/>
    </w:rPr>
  </w:style>
  <w:style w:type="paragraph" w:styleId="TOCHeading">
    <w:name w:val="TOC Heading"/>
    <w:basedOn w:val="Heading1"/>
    <w:next w:val="Normal"/>
    <w:uiPriority w:val="99"/>
    <w:qFormat/>
    <w:rsid w:val="005A0B24"/>
    <w:pPr>
      <w:outlineLvl w:val="9"/>
    </w:pPr>
  </w:style>
  <w:style w:type="paragraph" w:styleId="NoSpacing">
    <w:name w:val="No Spacing"/>
    <w:uiPriority w:val="99"/>
    <w:qFormat/>
    <w:rsid w:val="005A0B24"/>
    <w:rPr>
      <w:sz w:val="20"/>
      <w:szCs w:val="20"/>
      <w:lang w:val="en-US" w:eastAsia="ja-JP"/>
    </w:rPr>
  </w:style>
  <w:style w:type="paragraph" w:styleId="ListParagraph">
    <w:name w:val="List Paragraph"/>
    <w:basedOn w:val="Normal"/>
    <w:uiPriority w:val="99"/>
    <w:qFormat/>
    <w:rsid w:val="005A0B24"/>
    <w:pPr>
      <w:ind w:left="720"/>
      <w:contextualSpacing/>
    </w:pPr>
  </w:style>
  <w:style w:type="character" w:styleId="Hyperlink">
    <w:name w:val="Hyperlink"/>
    <w:basedOn w:val="DefaultParagraphFont"/>
    <w:uiPriority w:val="99"/>
    <w:rsid w:val="003E2BA5"/>
    <w:rPr>
      <w:rFonts w:cs="Times New Roman"/>
      <w:color w:val="99CA3C"/>
      <w:u w:val="single"/>
    </w:rPr>
  </w:style>
  <w:style w:type="paragraph" w:styleId="BalloonText">
    <w:name w:val="Balloon Text"/>
    <w:basedOn w:val="Normal"/>
    <w:link w:val="BalloonTextChar"/>
    <w:uiPriority w:val="99"/>
    <w:semiHidden/>
    <w:rsid w:val="008803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8803AE"/>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8590534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andres\AppData\Roaming\Microsoft\Templates\Facet%20design%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Facet design (blank)</Template>
  <TotalTime>3</TotalTime>
  <Pages>2</Pages>
  <Words>911</Words>
  <Characters>5195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of Emergencies in patients with Adrenal Insufficiency</dc:title>
  <dc:subject/>
  <dc:creator>Juan Rivera</dc:creator>
  <cp:keywords/>
  <dc:description/>
  <cp:lastModifiedBy>jrivera</cp:lastModifiedBy>
  <cp:revision>3</cp:revision>
  <cp:lastPrinted>2015-04-07T14:22:00Z</cp:lastPrinted>
  <dcterms:created xsi:type="dcterms:W3CDTF">2015-04-07T14:22:00Z</dcterms:created>
  <dcterms:modified xsi:type="dcterms:W3CDTF">2015-04-07T14:22:00Z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TC034577059991</vt:lpwstr>
  </property>
</Properties>
</file>